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67" w:rsidRPr="008C0167" w:rsidRDefault="008C0167" w:rsidP="008C0167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8C0167">
        <w:rPr>
          <w:rFonts w:ascii="Calibri" w:hAnsi="Calibri" w:cs="Calibri"/>
          <w:b/>
          <w:bCs/>
          <w:color w:val="000000"/>
          <w:sz w:val="40"/>
          <w:szCs w:val="40"/>
        </w:rPr>
        <w:t>Annex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>ure</w:t>
      </w:r>
      <w:r w:rsidR="00387C8A">
        <w:rPr>
          <w:rFonts w:ascii="Calibri" w:hAnsi="Calibri" w:cs="Calibri"/>
          <w:b/>
          <w:bCs/>
          <w:color w:val="000000"/>
          <w:sz w:val="40"/>
          <w:szCs w:val="40"/>
        </w:rPr>
        <w:t xml:space="preserve"> I</w:t>
      </w:r>
      <w:r w:rsidRPr="008C0167">
        <w:rPr>
          <w:rFonts w:ascii="Calibri" w:hAnsi="Calibri" w:cs="Calibri"/>
          <w:b/>
          <w:bCs/>
          <w:color w:val="000000"/>
          <w:sz w:val="40"/>
          <w:szCs w:val="40"/>
        </w:rPr>
        <w:t xml:space="preserve">: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Approved</w:t>
      </w:r>
      <w:r w:rsidRPr="008C0167">
        <w:rPr>
          <w:rFonts w:ascii="Calibri" w:hAnsi="Calibri" w:cs="Calibri"/>
          <w:b/>
          <w:bCs/>
          <w:color w:val="000000"/>
          <w:sz w:val="36"/>
          <w:szCs w:val="36"/>
        </w:rPr>
        <w:t xml:space="preserve"> synthetic petrochemical and mineral ingredients. </w:t>
      </w:r>
    </w:p>
    <w:p w:rsidR="008C0167" w:rsidRDefault="008C0167" w:rsidP="008C0167">
      <w:pPr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C0167" w:rsidRDefault="008C0167" w:rsidP="008C0167">
      <w:pPr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b/>
          <w:color w:val="000000"/>
          <w:sz w:val="32"/>
          <w:szCs w:val="32"/>
        </w:rPr>
      </w:pPr>
      <w:r w:rsidRPr="008C0167">
        <w:rPr>
          <w:rFonts w:ascii="Calibri" w:hAnsi="Calibri" w:cs="Calibri"/>
          <w:b/>
          <w:color w:val="000000"/>
          <w:sz w:val="32"/>
          <w:szCs w:val="32"/>
        </w:rPr>
        <w:t>A‐ A</w:t>
      </w:r>
      <w:r>
        <w:rPr>
          <w:rFonts w:ascii="Calibri" w:hAnsi="Calibri" w:cs="Calibri"/>
          <w:b/>
          <w:color w:val="000000"/>
          <w:sz w:val="32"/>
          <w:szCs w:val="32"/>
        </w:rPr>
        <w:t>pproved</w:t>
      </w:r>
      <w:r w:rsidRPr="008C0167">
        <w:rPr>
          <w:rFonts w:ascii="Calibri" w:hAnsi="Calibri" w:cs="Calibri"/>
          <w:b/>
          <w:color w:val="000000"/>
          <w:sz w:val="32"/>
          <w:szCs w:val="32"/>
        </w:rPr>
        <w:t xml:space="preserve"> ingr</w:t>
      </w:r>
      <w:r w:rsidR="00387C8A">
        <w:rPr>
          <w:rFonts w:ascii="Calibri" w:hAnsi="Calibri" w:cs="Calibri"/>
          <w:b/>
          <w:color w:val="000000"/>
          <w:sz w:val="32"/>
          <w:szCs w:val="32"/>
        </w:rPr>
        <w:t>edients for any type of product</w:t>
      </w:r>
      <w:r w:rsidRPr="008C0167">
        <w:rPr>
          <w:rFonts w:ascii="Calibri" w:hAnsi="Calibri" w:cs="Calibri"/>
          <w:b/>
          <w:color w:val="000000"/>
          <w:sz w:val="32"/>
          <w:szCs w:val="32"/>
        </w:rPr>
        <w:t xml:space="preserve">: </w:t>
      </w:r>
    </w:p>
    <w:p w:rsidR="008C0167" w:rsidRPr="00387C8A" w:rsidRDefault="008C0167" w:rsidP="00387C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color w:val="000000"/>
          <w:sz w:val="23"/>
          <w:szCs w:val="23"/>
          <w:u w:val="single"/>
        </w:rPr>
      </w:pPr>
      <w:r w:rsidRPr="00387C8A">
        <w:rPr>
          <w:rFonts w:ascii="Calibri" w:hAnsi="Calibri" w:cs="Calibri"/>
          <w:color w:val="000000"/>
          <w:sz w:val="23"/>
          <w:szCs w:val="23"/>
          <w:u w:val="single"/>
        </w:rPr>
        <w:t>A‐a Pure synthetic ingredients</w:t>
      </w:r>
    </w:p>
    <w:p w:rsidR="008C0167" w:rsidRPr="008C0167" w:rsidRDefault="008C0167" w:rsidP="008C0167">
      <w:pPr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b/>
          <w:color w:val="000000"/>
          <w:sz w:val="32"/>
          <w:szCs w:val="32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2775"/>
      </w:tblGrid>
      <w:tr w:rsidR="008C0167" w:rsidRP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9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0167" w:rsidRPr="008C0167" w:rsidRDefault="008C0167" w:rsidP="008C0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C016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Chemical name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C0167" w:rsidRPr="008C0167" w:rsidRDefault="008C0167" w:rsidP="008C0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C016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Function (not exhaustive) </w:t>
            </w:r>
          </w:p>
        </w:tc>
      </w:tr>
      <w:tr w:rsidR="008C0167" w:rsidRP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9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Pr="008C0167" w:rsidRDefault="008C0167" w:rsidP="008C0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8C0167">
              <w:rPr>
                <w:rFonts w:ascii="Calibri" w:hAnsi="Calibri" w:cs="Calibri"/>
                <w:color w:val="000000"/>
                <w:sz w:val="23"/>
                <w:szCs w:val="23"/>
              </w:rPr>
              <w:t>Dehydroacetic</w:t>
            </w:r>
            <w:proofErr w:type="spellEnd"/>
            <w:r w:rsidRPr="008C016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Acid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Pr="008C0167" w:rsidRDefault="008C0167" w:rsidP="008C0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C016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Preservative </w:t>
            </w:r>
          </w:p>
        </w:tc>
      </w:tr>
      <w:tr w:rsidR="008C0167" w:rsidRP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9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Pr="008C0167" w:rsidRDefault="008C0167" w:rsidP="008C0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8C0167">
              <w:rPr>
                <w:rFonts w:ascii="Calibri" w:hAnsi="Calibri" w:cs="Calibri"/>
                <w:color w:val="000000"/>
                <w:sz w:val="23"/>
                <w:szCs w:val="23"/>
              </w:rPr>
              <w:t>Polyaspartic</w:t>
            </w:r>
            <w:proofErr w:type="spellEnd"/>
            <w:r w:rsidRPr="008C016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Acid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Pr="008C0167" w:rsidRDefault="008C0167" w:rsidP="008C0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C016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Preservative </w:t>
            </w:r>
          </w:p>
        </w:tc>
      </w:tr>
      <w:tr w:rsidR="008C0167" w:rsidRP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9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Pr="008C0167" w:rsidRDefault="008C0167" w:rsidP="008C0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8C0167">
              <w:rPr>
                <w:rFonts w:ascii="Calibri" w:hAnsi="Calibri" w:cs="Calibri"/>
                <w:color w:val="000000"/>
                <w:sz w:val="23"/>
                <w:szCs w:val="23"/>
              </w:rPr>
              <w:t>Sorbic</w:t>
            </w:r>
            <w:proofErr w:type="spellEnd"/>
            <w:r w:rsidRPr="008C016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Acid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Pr="008C0167" w:rsidRDefault="008C0167" w:rsidP="008C0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C016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Preservative </w:t>
            </w:r>
          </w:p>
        </w:tc>
      </w:tr>
      <w:tr w:rsidR="008C0167" w:rsidRP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9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Pr="008C0167" w:rsidRDefault="008C0167" w:rsidP="008C0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8C0167">
              <w:rPr>
                <w:rFonts w:ascii="Calibri" w:hAnsi="Calibri" w:cs="Calibri"/>
                <w:color w:val="000000"/>
                <w:sz w:val="23"/>
                <w:szCs w:val="23"/>
              </w:rPr>
              <w:t>Isothiazolinones</w:t>
            </w:r>
            <w:proofErr w:type="spellEnd"/>
            <w:r w:rsidRPr="008C016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Pr="008C0167" w:rsidRDefault="008C0167" w:rsidP="008C0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C016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Preservative </w:t>
            </w:r>
          </w:p>
        </w:tc>
      </w:tr>
      <w:tr w:rsidR="008C0167" w:rsidRP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9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Pr="008C0167" w:rsidRDefault="008C0167" w:rsidP="008C0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C016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Glycolic Acid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Pr="008C0167" w:rsidRDefault="008C0167" w:rsidP="008C0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C016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Other </w:t>
            </w:r>
          </w:p>
        </w:tc>
      </w:tr>
    </w:tbl>
    <w:p w:rsidR="008C0167" w:rsidRDefault="008C0167" w:rsidP="008C0167">
      <w:pPr>
        <w:pStyle w:val="Default"/>
        <w:jc w:val="both"/>
        <w:rPr>
          <w:b/>
          <w:bCs/>
          <w:sz w:val="23"/>
          <w:szCs w:val="23"/>
          <w:u w:val="single"/>
        </w:rPr>
      </w:pPr>
    </w:p>
    <w:p w:rsidR="008C0167" w:rsidRDefault="008C0167" w:rsidP="008C0167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  <w:u w:val="single"/>
        </w:rPr>
        <w:t>NB :</w:t>
      </w:r>
      <w:proofErr w:type="gramEnd"/>
      <w:r>
        <w:rPr>
          <w:b/>
          <w:bCs/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Following the decision 2008/681/CE of the European committee (2008, </w:t>
      </w:r>
      <w:proofErr w:type="spellStart"/>
      <w:r>
        <w:rPr>
          <w:sz w:val="23"/>
          <w:szCs w:val="23"/>
        </w:rPr>
        <w:t>july</w:t>
      </w:r>
      <w:proofErr w:type="spellEnd"/>
      <w:r>
        <w:rPr>
          <w:sz w:val="23"/>
          <w:szCs w:val="23"/>
        </w:rPr>
        <w:t xml:space="preserve"> the 28th), and the decision 2008/809/CE (2008, October the 14th), modifying </w:t>
      </w:r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Biocidal</w:t>
      </w:r>
      <w:proofErr w:type="spellEnd"/>
      <w:r>
        <w:rPr>
          <w:sz w:val="23"/>
          <w:szCs w:val="23"/>
        </w:rPr>
        <w:t xml:space="preserve"> Products Directive</w:t>
      </w:r>
      <w:r>
        <w:rPr>
          <w:sz w:val="23"/>
          <w:szCs w:val="23"/>
        </w:rPr>
        <w:t xml:space="preserve"> 1451/2007 : </w:t>
      </w:r>
    </w:p>
    <w:p w:rsidR="008C0167" w:rsidRDefault="008C0167" w:rsidP="008C0167">
      <w:pPr>
        <w:pStyle w:val="Default"/>
        <w:jc w:val="both"/>
        <w:rPr>
          <w:sz w:val="23"/>
          <w:szCs w:val="23"/>
        </w:rPr>
      </w:pPr>
    </w:p>
    <w:p w:rsidR="008C0167" w:rsidRDefault="008C0167" w:rsidP="008C016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Benzoic Acid and salts are not accepted as preservative of Cleaning Products anymore </w:t>
      </w:r>
      <w:r>
        <w:rPr>
          <w:sz w:val="23"/>
          <w:szCs w:val="23"/>
        </w:rPr>
        <w:t>(Product type 6)</w:t>
      </w:r>
      <w:r>
        <w:rPr>
          <w:b/>
          <w:bCs/>
          <w:sz w:val="23"/>
          <w:szCs w:val="23"/>
        </w:rPr>
        <w:t xml:space="preserve">. </w:t>
      </w:r>
    </w:p>
    <w:p w:rsidR="008C0167" w:rsidRDefault="008C0167" w:rsidP="008C0167">
      <w:pPr>
        <w:pStyle w:val="Default"/>
        <w:jc w:val="both"/>
        <w:rPr>
          <w:sz w:val="23"/>
          <w:szCs w:val="23"/>
        </w:rPr>
      </w:pPr>
    </w:p>
    <w:p w:rsidR="008C0167" w:rsidRDefault="008C0167" w:rsidP="008C01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order to guarantee the control of some cleaning products (for some pH coverage), </w:t>
      </w:r>
      <w:proofErr w:type="spellStart"/>
      <w:r>
        <w:rPr>
          <w:sz w:val="23"/>
          <w:szCs w:val="23"/>
        </w:rPr>
        <w:t>isothiazolinones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may be</w:t>
      </w:r>
      <w:r>
        <w:rPr>
          <w:sz w:val="23"/>
          <w:szCs w:val="23"/>
        </w:rPr>
        <w:t xml:space="preserve"> accepted as substituting preservatives</w:t>
      </w:r>
      <w:r>
        <w:rPr>
          <w:sz w:val="23"/>
          <w:szCs w:val="23"/>
        </w:rPr>
        <w:t xml:space="preserve"> only where natural equivalents are not available or where such equivalents prove ineffective.</w:t>
      </w:r>
      <w:r>
        <w:rPr>
          <w:sz w:val="23"/>
          <w:szCs w:val="23"/>
        </w:rPr>
        <w:t xml:space="preserve"> </w:t>
      </w:r>
    </w:p>
    <w:p w:rsidR="008C0167" w:rsidRDefault="008C0167" w:rsidP="008C0167">
      <w:pPr>
        <w:pStyle w:val="Default"/>
        <w:rPr>
          <w:rFonts w:cs="Times New Roman"/>
          <w:color w:val="auto"/>
        </w:rPr>
      </w:pPr>
    </w:p>
    <w:p w:rsidR="00387C8A" w:rsidRDefault="00387C8A" w:rsidP="00387C8A">
      <w:pPr>
        <w:pStyle w:val="Default"/>
        <w:numPr>
          <w:ilvl w:val="0"/>
          <w:numId w:val="5"/>
        </w:numPr>
        <w:rPr>
          <w:rFonts w:cs="Times New Roman"/>
          <w:color w:val="auto"/>
        </w:rPr>
      </w:pPr>
      <w:r>
        <w:rPr>
          <w:color w:val="auto"/>
          <w:sz w:val="23"/>
          <w:szCs w:val="23"/>
          <w:u w:val="single"/>
        </w:rPr>
        <w:t>A‐b Mineral origin ingredients</w:t>
      </w:r>
    </w:p>
    <w:p w:rsidR="00387C8A" w:rsidRDefault="00387C8A" w:rsidP="008C0167">
      <w:pPr>
        <w:pStyle w:val="Default"/>
        <w:rPr>
          <w:rFonts w:cs="Times New Roman"/>
          <w:color w:val="auto"/>
        </w:rPr>
      </w:pPr>
    </w:p>
    <w:tbl>
      <w:tblPr>
        <w:tblW w:w="900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3"/>
        <w:gridCol w:w="3107"/>
      </w:tblGrid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Chemical name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Function (not exhaustive)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Carbonates (sodium, </w:t>
            </w:r>
            <w:proofErr w:type="spellStart"/>
            <w:r>
              <w:rPr>
                <w:sz w:val="23"/>
                <w:szCs w:val="23"/>
              </w:rPr>
              <w:t>magnésium</w:t>
            </w:r>
            <w:proofErr w:type="spellEnd"/>
            <w:r>
              <w:rPr>
                <w:sz w:val="23"/>
                <w:szCs w:val="23"/>
              </w:rPr>
              <w:t xml:space="preserve">, potassium, calcium, </w:t>
            </w:r>
            <w:proofErr w:type="spellStart"/>
            <w:r>
              <w:rPr>
                <w:sz w:val="23"/>
                <w:szCs w:val="23"/>
              </w:rPr>
              <w:t>silicium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Silver, sodium, magnesium and potassium chlorides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 77000 (Aluminium)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Pigment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 77007 (Lapis lazuli)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Pigment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 77163 (bismuth </w:t>
            </w:r>
            <w:proofErr w:type="spellStart"/>
            <w:r>
              <w:rPr>
                <w:sz w:val="23"/>
                <w:szCs w:val="23"/>
              </w:rPr>
              <w:t>oxychloride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Pigment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CI77400 (Copper)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Pigment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 77510 (Prussian Blue)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Pigment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 77742 (Ammonium and Manganese </w:t>
            </w:r>
            <w:proofErr w:type="spellStart"/>
            <w:r>
              <w:rPr>
                <w:sz w:val="23"/>
                <w:szCs w:val="23"/>
              </w:rPr>
              <w:t>Diphosphate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Pigment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 77745 (manganese bi orthophosphate)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Pigment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 77891 (titanium dioxide)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Pigment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 77480, 77491, 77492, 77499 (Iron oxide)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Pigment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 77711 (magnesium oxide)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Pigment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 77713 (magnesium carbonate)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Pigment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CI77820 (Silver)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Pigment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 77947 (Zinc oxide)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Pigment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Titanium dioxide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Pigment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Potassium hydroxide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Sodium hydroxide (soda)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Silicates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Sulfate</w:t>
            </w:r>
            <w:proofErr w:type="spellEnd"/>
            <w:r>
              <w:rPr>
                <w:sz w:val="23"/>
                <w:szCs w:val="23"/>
              </w:rPr>
              <w:t xml:space="preserve"> of soda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</w:t>
            </w:r>
          </w:p>
        </w:tc>
      </w:tr>
      <w:tr w:rsidR="008C0167" w:rsidT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Zeolites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</w:t>
            </w:r>
          </w:p>
        </w:tc>
      </w:tr>
    </w:tbl>
    <w:p w:rsidR="008C0167" w:rsidRDefault="008C0167">
      <w:pPr>
        <w:rPr>
          <w:sz w:val="32"/>
          <w:szCs w:val="32"/>
        </w:rPr>
      </w:pPr>
    </w:p>
    <w:p w:rsidR="00E85BD6" w:rsidRPr="008C0167" w:rsidRDefault="008C0167">
      <w:pPr>
        <w:rPr>
          <w:b/>
          <w:sz w:val="32"/>
          <w:szCs w:val="32"/>
        </w:rPr>
      </w:pPr>
      <w:r w:rsidRPr="008C0167">
        <w:rPr>
          <w:b/>
          <w:sz w:val="32"/>
          <w:szCs w:val="32"/>
        </w:rPr>
        <w:t xml:space="preserve">B‐ </w:t>
      </w:r>
      <w:r>
        <w:rPr>
          <w:b/>
          <w:sz w:val="32"/>
          <w:szCs w:val="32"/>
        </w:rPr>
        <w:t>Approved</w:t>
      </w:r>
      <w:r w:rsidRPr="008C0167">
        <w:rPr>
          <w:b/>
          <w:sz w:val="32"/>
          <w:szCs w:val="32"/>
        </w:rPr>
        <w:t xml:space="preserve"> ingredients for laundry detergents: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3"/>
        <w:gridCol w:w="3700"/>
      </w:tblGrid>
      <w:tr w:rsid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Chemical name 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Function (not exhaustive) </w:t>
            </w:r>
          </w:p>
        </w:tc>
      </w:tr>
      <w:tr w:rsid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Carboxy</w:t>
            </w:r>
            <w:proofErr w:type="spellEnd"/>
            <w:r>
              <w:rPr>
                <w:sz w:val="23"/>
                <w:szCs w:val="23"/>
              </w:rPr>
              <w:t xml:space="preserve"> methyl cellulose 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Viscosing</w:t>
            </w:r>
            <w:proofErr w:type="spellEnd"/>
            <w:r>
              <w:rPr>
                <w:sz w:val="23"/>
                <w:szCs w:val="23"/>
              </w:rPr>
              <w:t xml:space="preserve"> and anti‐</w:t>
            </w:r>
            <w:proofErr w:type="spellStart"/>
            <w:r>
              <w:rPr>
                <w:sz w:val="23"/>
                <w:szCs w:val="23"/>
              </w:rPr>
              <w:t>redeposing</w:t>
            </w:r>
            <w:proofErr w:type="spellEnd"/>
            <w:r>
              <w:rPr>
                <w:sz w:val="23"/>
                <w:szCs w:val="23"/>
              </w:rPr>
              <w:t xml:space="preserve"> Agent </w:t>
            </w:r>
          </w:p>
        </w:tc>
      </w:tr>
      <w:tr w:rsid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Carboxymethyl</w:t>
            </w:r>
            <w:proofErr w:type="spellEnd"/>
            <w:r>
              <w:rPr>
                <w:sz w:val="23"/>
                <w:szCs w:val="23"/>
              </w:rPr>
              <w:t xml:space="preserve"> Inulin 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Viscosing</w:t>
            </w:r>
            <w:proofErr w:type="spellEnd"/>
            <w:r>
              <w:rPr>
                <w:sz w:val="23"/>
                <w:szCs w:val="23"/>
              </w:rPr>
              <w:t xml:space="preserve"> and anti‐</w:t>
            </w:r>
            <w:proofErr w:type="spellStart"/>
            <w:r>
              <w:rPr>
                <w:sz w:val="23"/>
                <w:szCs w:val="23"/>
              </w:rPr>
              <w:t>redeposing</w:t>
            </w:r>
            <w:proofErr w:type="spellEnd"/>
            <w:r>
              <w:rPr>
                <w:sz w:val="23"/>
                <w:szCs w:val="23"/>
              </w:rPr>
              <w:t xml:space="preserve"> Agent </w:t>
            </w:r>
          </w:p>
        </w:tc>
      </w:tr>
      <w:tr w:rsid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TAED (</w:t>
            </w:r>
            <w:proofErr w:type="spellStart"/>
            <w:r>
              <w:rPr>
                <w:sz w:val="23"/>
                <w:szCs w:val="23"/>
              </w:rPr>
              <w:t>Tetraacetylethylenediamine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Bleaching Agent </w:t>
            </w:r>
          </w:p>
        </w:tc>
      </w:tr>
    </w:tbl>
    <w:p w:rsidR="008C0167" w:rsidRDefault="008C0167">
      <w:pPr>
        <w:rPr>
          <w:sz w:val="32"/>
          <w:szCs w:val="32"/>
        </w:rPr>
      </w:pPr>
    </w:p>
    <w:p w:rsidR="008C0167" w:rsidRPr="008C0167" w:rsidRDefault="008C0167">
      <w:pPr>
        <w:rPr>
          <w:b/>
          <w:sz w:val="32"/>
          <w:szCs w:val="32"/>
        </w:rPr>
      </w:pPr>
      <w:r w:rsidRPr="008C0167">
        <w:rPr>
          <w:b/>
          <w:sz w:val="32"/>
          <w:szCs w:val="32"/>
        </w:rPr>
        <w:t xml:space="preserve">C‐ </w:t>
      </w:r>
      <w:r>
        <w:rPr>
          <w:b/>
          <w:sz w:val="32"/>
          <w:szCs w:val="32"/>
        </w:rPr>
        <w:t>Approved</w:t>
      </w:r>
      <w:r w:rsidRPr="008C0167">
        <w:rPr>
          <w:b/>
          <w:sz w:val="32"/>
          <w:szCs w:val="32"/>
        </w:rPr>
        <w:t xml:space="preserve"> ingr</w:t>
      </w:r>
      <w:r w:rsidRPr="008C0167">
        <w:rPr>
          <w:b/>
          <w:sz w:val="32"/>
          <w:szCs w:val="32"/>
        </w:rPr>
        <w:t>e</w:t>
      </w:r>
      <w:r w:rsidRPr="008C0167">
        <w:rPr>
          <w:b/>
          <w:sz w:val="32"/>
          <w:szCs w:val="32"/>
        </w:rPr>
        <w:t>dients for powder products: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3"/>
        <w:gridCol w:w="3200"/>
      </w:tblGrid>
      <w:tr w:rsidR="008C01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Chemical name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C0167" w:rsidRDefault="008C01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Function (not exhaustive) </w:t>
            </w:r>
          </w:p>
        </w:tc>
      </w:tr>
      <w:tr w:rsidR="008C0167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167" w:rsidRDefault="008C0167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Sodium </w:t>
            </w:r>
            <w:proofErr w:type="spellStart"/>
            <w:r>
              <w:rPr>
                <w:sz w:val="23"/>
                <w:szCs w:val="23"/>
              </w:rPr>
              <w:t>Percarbonate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167" w:rsidRDefault="008C01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Bleaching Agent </w:t>
            </w:r>
          </w:p>
        </w:tc>
      </w:tr>
    </w:tbl>
    <w:p w:rsidR="008C0167" w:rsidRDefault="008C0167">
      <w:pPr>
        <w:rPr>
          <w:sz w:val="32"/>
          <w:szCs w:val="32"/>
        </w:rPr>
      </w:pPr>
    </w:p>
    <w:p w:rsidR="008C0167" w:rsidRPr="008C0167" w:rsidRDefault="008C0167" w:rsidP="008C0167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 w:cs="Calibri"/>
          <w:b/>
          <w:color w:val="000000"/>
          <w:sz w:val="32"/>
          <w:szCs w:val="32"/>
        </w:rPr>
      </w:pPr>
      <w:r w:rsidRPr="008C0167">
        <w:rPr>
          <w:rFonts w:ascii="Calibri" w:hAnsi="Calibri" w:cs="Calibri"/>
          <w:b/>
          <w:color w:val="000000"/>
          <w:sz w:val="32"/>
          <w:szCs w:val="32"/>
        </w:rPr>
        <w:t xml:space="preserve">D‐ </w:t>
      </w:r>
      <w:r w:rsidR="00387C8A" w:rsidRPr="00387C8A">
        <w:rPr>
          <w:rFonts w:ascii="Calibri" w:hAnsi="Calibri" w:cs="Calibri"/>
          <w:b/>
          <w:color w:val="000000"/>
          <w:sz w:val="32"/>
          <w:szCs w:val="32"/>
        </w:rPr>
        <w:t>Approved</w:t>
      </w:r>
      <w:r w:rsidRPr="008C0167">
        <w:rPr>
          <w:rFonts w:ascii="Calibri" w:hAnsi="Calibri" w:cs="Calibri"/>
          <w:b/>
          <w:color w:val="000000"/>
          <w:sz w:val="32"/>
          <w:szCs w:val="32"/>
        </w:rPr>
        <w:t xml:space="preserve"> sequestration agents for any type of product: </w:t>
      </w:r>
    </w:p>
    <w:p w:rsidR="008C0167" w:rsidRDefault="008C0167" w:rsidP="008C01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C0167" w:rsidRPr="008C0167" w:rsidRDefault="008C0167" w:rsidP="008C01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C0167">
        <w:rPr>
          <w:rFonts w:ascii="Calibri" w:hAnsi="Calibri" w:cs="Calibri"/>
          <w:color w:val="000000"/>
          <w:sz w:val="23"/>
          <w:szCs w:val="23"/>
        </w:rPr>
        <w:t xml:space="preserve">A synthetic sequestration agent may be used in a natural detergent provided it respects the following conditions: </w:t>
      </w:r>
    </w:p>
    <w:p w:rsidR="008C0167" w:rsidRPr="008C0167" w:rsidRDefault="008C0167" w:rsidP="008C0167">
      <w:pPr>
        <w:autoSpaceDE w:val="0"/>
        <w:autoSpaceDN w:val="0"/>
        <w:adjustRightInd w:val="0"/>
        <w:spacing w:after="0" w:line="240" w:lineRule="auto"/>
        <w:ind w:firstLine="700"/>
        <w:rPr>
          <w:rFonts w:ascii="Calibri" w:hAnsi="Calibri" w:cs="Calibri"/>
          <w:color w:val="000000"/>
          <w:sz w:val="23"/>
          <w:szCs w:val="23"/>
        </w:rPr>
      </w:pPr>
      <w:r w:rsidRPr="008C0167">
        <w:rPr>
          <w:rFonts w:ascii="Calibri" w:hAnsi="Calibri" w:cs="Calibri"/>
          <w:color w:val="000000"/>
          <w:sz w:val="23"/>
          <w:szCs w:val="23"/>
        </w:rPr>
        <w:t xml:space="preserve">‐ Biodegradability &gt; 60% according to OCDE 301 </w:t>
      </w:r>
    </w:p>
    <w:p w:rsidR="008C0167" w:rsidRPr="008C0167" w:rsidRDefault="008C0167" w:rsidP="008C0167">
      <w:pPr>
        <w:autoSpaceDE w:val="0"/>
        <w:autoSpaceDN w:val="0"/>
        <w:adjustRightInd w:val="0"/>
        <w:spacing w:after="0" w:line="240" w:lineRule="auto"/>
        <w:ind w:firstLine="700"/>
        <w:rPr>
          <w:rFonts w:ascii="Calibri" w:hAnsi="Calibri" w:cs="Calibri"/>
          <w:color w:val="000000"/>
          <w:sz w:val="23"/>
          <w:szCs w:val="23"/>
        </w:rPr>
      </w:pPr>
      <w:r w:rsidRPr="008C0167">
        <w:rPr>
          <w:rFonts w:ascii="Calibri" w:hAnsi="Calibri" w:cs="Calibri"/>
          <w:color w:val="000000"/>
          <w:sz w:val="23"/>
          <w:szCs w:val="23"/>
        </w:rPr>
        <w:t xml:space="preserve">‐ Acute toxicity for water‐borne organisms: </w:t>
      </w:r>
    </w:p>
    <w:p w:rsidR="008C0167" w:rsidRPr="00387C8A" w:rsidRDefault="008C0167" w:rsidP="00387C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87C8A">
        <w:rPr>
          <w:rFonts w:ascii="Calibri" w:hAnsi="Calibri" w:cs="Calibri"/>
          <w:color w:val="000000"/>
          <w:sz w:val="23"/>
          <w:szCs w:val="23"/>
        </w:rPr>
        <w:t xml:space="preserve">value CL50 for fish for 96 hours (Guideline 203 OCDE or equivalent) must be over 10mg/L </w:t>
      </w:r>
    </w:p>
    <w:p w:rsidR="00387C8A" w:rsidRPr="00387C8A" w:rsidRDefault="008C0167" w:rsidP="00387C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387C8A">
        <w:rPr>
          <w:rFonts w:ascii="Calibri" w:hAnsi="Calibri" w:cs="Calibri"/>
          <w:color w:val="000000"/>
          <w:szCs w:val="23"/>
        </w:rPr>
        <w:t xml:space="preserve">value CE50 for shellfish for 48 hours (Guideline 202 OCDE or equivalent) must be over 10mg/L </w:t>
      </w:r>
    </w:p>
    <w:p w:rsidR="008C0167" w:rsidRPr="00387C8A" w:rsidRDefault="008C0167" w:rsidP="00387C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387C8A">
        <w:rPr>
          <w:rFonts w:ascii="Calibri" w:hAnsi="Calibri" w:cs="Calibri"/>
          <w:color w:val="000000"/>
          <w:szCs w:val="23"/>
        </w:rPr>
        <w:t>value CE50 for a variety of algae for 72 or 96 hours (Guideline 201 OCDE or equivalent) must be over 10mg/L</w:t>
      </w:r>
    </w:p>
    <w:p w:rsidR="008C0167" w:rsidRDefault="008C0167">
      <w:bookmarkStart w:id="0" w:name="_GoBack"/>
      <w:bookmarkEnd w:id="0"/>
    </w:p>
    <w:sectPr w:rsidR="008C0167" w:rsidSect="008C0167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5175C8"/>
    <w:multiLevelType w:val="hybridMultilevel"/>
    <w:tmpl w:val="D28CAE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8541C"/>
    <w:multiLevelType w:val="hybridMultilevel"/>
    <w:tmpl w:val="9B2A26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D6491"/>
    <w:multiLevelType w:val="hybridMultilevel"/>
    <w:tmpl w:val="A814A36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B90171"/>
    <w:multiLevelType w:val="hybridMultilevel"/>
    <w:tmpl w:val="8D98A53C"/>
    <w:lvl w:ilvl="0" w:tplc="83723B28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2B4937"/>
    <w:multiLevelType w:val="hybridMultilevel"/>
    <w:tmpl w:val="11E00DA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67"/>
    <w:rsid w:val="00387C8A"/>
    <w:rsid w:val="008C0167"/>
    <w:rsid w:val="00E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01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01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2014-09-09T07:05:00Z</dcterms:created>
  <dcterms:modified xsi:type="dcterms:W3CDTF">2014-09-09T07:19:00Z</dcterms:modified>
</cp:coreProperties>
</file>